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5F" w:rsidRDefault="00A11A5F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11A5F" w:rsidRDefault="00A11A5F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20130" cy="16427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rightLagrangeCiceron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b/>
          <w:bCs/>
          <w:sz w:val="24"/>
          <w:szCs w:val="24"/>
        </w:rPr>
        <w:t>1. Nel testo</w:t>
      </w: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 xml:space="preserve"> latino che segue, prima di aprire il dizionario o di scrivere, esegui le seguenti operazioni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(tecnica di traduzione):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a. leggi attentamente il brano un paio di volte, concentrando l’attenzione sui predicati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sui corrispondenti soggetti di ciascuna frase e tentando già di cogliere il significato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questo primo nucleo di ogni frase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b. sottolinea, quindi,</w:t>
      </w:r>
      <w:r>
        <w:rPr>
          <w:rFonts w:ascii="Times New Roman" w:hAnsi="Times New Roman" w:cs="Times New Roman"/>
          <w:b/>
          <w:bCs/>
          <w:sz w:val="24"/>
          <w:szCs w:val="24"/>
          <w:lang w:val="la-Latn"/>
        </w:rPr>
        <w:t xml:space="preserve"> tutti i predicati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c. individua tutti i sog</w:t>
      </w:r>
      <w:r>
        <w:rPr>
          <w:rFonts w:ascii="Times New Roman" w:hAnsi="Times New Roman" w:cs="Times New Roman"/>
          <w:b/>
          <w:bCs/>
          <w:sz w:val="24"/>
          <w:szCs w:val="24"/>
          <w:lang w:val="la-Latn"/>
        </w:rPr>
        <w:t>getti e contra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ssegnali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grassetto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a-Latn"/>
        </w:rPr>
        <w:t xml:space="preserve">d.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metti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fra parentesi tonde</w:t>
      </w: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 xml:space="preserve"> tutti i sintagmi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e. suddividi tra loro le proposizioni con una sbarretta ( = ogni predicato corrisponde 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una proposizione)</w:t>
      </w:r>
    </w:p>
    <w:p w:rsid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Orfeo ed Euridice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Orpheuspoëta lyrae sono etiam beluas mollit, commŏvet etiam saxa. Nuptiarum die </w:t>
      </w:r>
      <w:r>
        <w:rPr>
          <w:rFonts w:ascii="Times New Roman" w:hAnsi="Times New Roman" w:cs="Times New Roman"/>
          <w:sz w:val="24"/>
          <w:szCs w:val="24"/>
          <w:lang w:val="la-Latn"/>
        </w:rPr>
        <w:t>Orphei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 sponsa, pulchra nympha Eurydice (nom. fem.), a vipera mordetur et ob venenum vitam amittit: multis cum lacrimis amatum virum relinquit et ad Inferos descendere debet. Miser Orpheus flet et diu per silvas errat. Denĭque ad Inferos descendit et lyrae sono animum</w:t>
      </w:r>
      <w:r w:rsidRPr="00A11A5F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>Proserpinae, Inferorum reginae, movēre temptat: nam Eurydicem (= acc.) recuperare optat. Ad Proserpinae solium</w:t>
      </w:r>
      <w:r w:rsidRPr="00313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a-Latn"/>
        </w:rPr>
        <w:t>accedit et suaviter canit:</w:t>
      </w:r>
      <w:r w:rsidRPr="00313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>mortuorum umbrae accurrunt, monstrum Cerberus tacet, cessant damnatorum supplicia.</w:t>
      </w:r>
      <w:r w:rsidRPr="00313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>Denĭque etiam Proserpinae animum commovet et dea poëtae vota exaudit. Dea Eurydicem Orpheo reddit, sed in via</w:t>
      </w:r>
      <w:r w:rsidRPr="00313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>ab Inferis ad terram poëta oculos vertere ad sponsam non debet. Orpheus gaudio exsultat sed incaute oculos vertit: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a-Latn"/>
        </w:rPr>
        <w:t>statim Eurydice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 evanescit ex oculis viri et Orpheus frustra sponsam retinēre temptat.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6"/>
        <w:gridCol w:w="4873"/>
      </w:tblGrid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sz w:val="24"/>
                <w:szCs w:val="24"/>
                <w:lang w:val="la-Latn"/>
              </w:rPr>
              <w:t>LATINO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sz w:val="24"/>
                <w:szCs w:val="24"/>
                <w:lang w:val="la-Latn"/>
              </w:rPr>
              <w:t>ITALIANO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Et, atque, ac, -que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E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Etiam, quoque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Anche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Nec, neque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E non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Sed, at, autem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Ma, invece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tamen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Tuttavia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Aut, vel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O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c>
          <w:tcPr>
            <w:tcW w:w="4889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Nam, enim</w:t>
            </w:r>
          </w:p>
        </w:tc>
        <w:tc>
          <w:tcPr>
            <w:tcW w:w="4889" w:type="dxa"/>
            <w:gridSpan w:val="2"/>
          </w:tcPr>
          <w:p w:rsidR="00313E04" w:rsidRP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Infatti</w:t>
            </w:r>
          </w:p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a-Latn"/>
              </w:rPr>
            </w:pPr>
          </w:p>
        </w:tc>
      </w:tr>
      <w:tr w:rsidR="00313E04" w:rsidTr="00313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905" w:type="dxa"/>
            <w:gridSpan w:val="2"/>
          </w:tcPr>
          <w:p w:rsidR="00313E04" w:rsidRDefault="00313E04" w:rsidP="00313E04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 xml:space="preserve">Ergo, igitur, itaque </w:t>
            </w:r>
          </w:p>
        </w:tc>
        <w:tc>
          <w:tcPr>
            <w:tcW w:w="4873" w:type="dxa"/>
          </w:tcPr>
          <w:p w:rsidR="00313E04" w:rsidRDefault="00313E04" w:rsidP="0031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</w:pPr>
            <w:r w:rsidRPr="00313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a-Latn"/>
              </w:rPr>
              <w:t>Perciò, quindi</w:t>
            </w:r>
          </w:p>
        </w:tc>
      </w:tr>
    </w:tbl>
    <w:p w:rsid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313E04">
        <w:rPr>
          <w:rFonts w:ascii="Times New Roman" w:hAnsi="Times New Roman" w:cs="Times New Roman"/>
          <w:b/>
          <w:bCs/>
          <w:sz w:val="24"/>
          <w:szCs w:val="24"/>
          <w:lang w:val="la-Latn"/>
        </w:rPr>
        <w:t>. Traduci ora le seguenti frasi dall’ italiano, utilizzando gli stessi termini presenti nella versione.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>a. Gli animali selvatici sono ammansiti dal suono della lira del poeta Orfeo.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Trad.: 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>b. Una vipera morde la sposa di Orfeo, che (=</w:t>
      </w:r>
      <w:r w:rsidRPr="00313E04">
        <w:rPr>
          <w:rFonts w:ascii="Times New Roman" w:hAnsi="Times New Roman" w:cs="Times New Roman"/>
          <w:i/>
          <w:iCs/>
          <w:sz w:val="24"/>
          <w:szCs w:val="24"/>
          <w:lang w:val="la-Latn"/>
        </w:rPr>
        <w:t>quae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>) perde la vita.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Trad.: 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>c. Il povero Orfeo commuove la regina degli Inferi Proserpina con il suono della lira.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Trad.: 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>d. Alla fine la sposa viene restituita al poeta Orfeo dal Proserpina.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Trad.: </w:t>
      </w:r>
    </w:p>
    <w:p w:rsidR="00313E04" w:rsidRPr="00313E04" w:rsidRDefault="00313E04" w:rsidP="0031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>e. Orfeo volge gli occhi verso la sposa, che (</w:t>
      </w:r>
      <w:r w:rsidRPr="00313E04">
        <w:rPr>
          <w:rFonts w:ascii="Times New Roman" w:hAnsi="Times New Roman" w:cs="Times New Roman"/>
          <w:i/>
          <w:iCs/>
          <w:sz w:val="24"/>
          <w:szCs w:val="24"/>
          <w:lang w:val="la-Latn"/>
        </w:rPr>
        <w:t>quae</w:t>
      </w:r>
      <w:r w:rsidRPr="00313E04">
        <w:rPr>
          <w:rFonts w:ascii="Times New Roman" w:hAnsi="Times New Roman" w:cs="Times New Roman"/>
          <w:sz w:val="24"/>
          <w:szCs w:val="24"/>
          <w:lang w:val="la-Latn"/>
        </w:rPr>
        <w:t>) subito svanisce.</w:t>
      </w:r>
    </w:p>
    <w:p w:rsidR="00456474" w:rsidRPr="00313E04" w:rsidRDefault="00313E04" w:rsidP="00313E04">
      <w:pPr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313E04">
        <w:rPr>
          <w:rFonts w:ascii="Times New Roman" w:hAnsi="Times New Roman" w:cs="Times New Roman"/>
          <w:sz w:val="24"/>
          <w:szCs w:val="24"/>
          <w:lang w:val="la-Latn"/>
        </w:rPr>
        <w:t xml:space="preserve">Trad.: </w:t>
      </w:r>
    </w:p>
    <w:sectPr w:rsidR="00456474" w:rsidRPr="00313E04" w:rsidSect="00313E0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13E04"/>
    <w:rsid w:val="00313E04"/>
    <w:rsid w:val="00456474"/>
    <w:rsid w:val="00843F33"/>
    <w:rsid w:val="00A1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D3D76-F4F3-4697-A66E-80B23794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3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VEBEIOKI</dc:creator>
  <cp:keywords/>
  <dc:description/>
  <cp:lastModifiedBy>user</cp:lastModifiedBy>
  <cp:revision>2</cp:revision>
  <dcterms:created xsi:type="dcterms:W3CDTF">2016-01-05T09:26:00Z</dcterms:created>
  <dcterms:modified xsi:type="dcterms:W3CDTF">2016-01-05T09:26:00Z</dcterms:modified>
</cp:coreProperties>
</file>